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[poster invoegen]</w:t>
      </w:r>
      <w:r w:rsidDel="00000000" w:rsidR="00000000" w:rsidRPr="00000000">
        <w:br w:type="page"/>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Inhoud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16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[poster invoegen]</w:t>
            <w:tab/>
          </w:r>
          <w:r w:rsidDel="00000000" w:rsidR="00000000" w:rsidRPr="00000000">
            <w:fldChar w:fldCharType="begin"/>
            <w:instrText xml:space="preserve"> HYPERLINK \l "_heading=h.gjdgxs" </w:instrText>
            <w:fldChar w:fldCharType="separate"/>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16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Inhoud</w:t>
            <w:tab/>
          </w:r>
          <w:r w:rsidDel="00000000" w:rsidR="00000000" w:rsidRPr="00000000">
            <w:fldChar w:fldCharType="begin"/>
            <w:instrText xml:space="preserve"> HYPERLINK \l "_heading=h.30j0zll" </w:instrText>
            <w:fldChar w:fldCharType="separate"/>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16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Algemene informatie</w:t>
            <w:tab/>
          </w:r>
          <w:r w:rsidDel="00000000" w:rsidR="00000000" w:rsidRPr="00000000">
            <w:fldChar w:fldCharType="begin"/>
            <w:instrText xml:space="preserve"> HYPERLINK \l "_heading=h.1fob9te" </w:instrText>
            <w:fldChar w:fldCharType="separate"/>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16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Programma</w:t>
            <w:tab/>
          </w:r>
          <w:r w:rsidDel="00000000" w:rsidR="00000000" w:rsidRPr="00000000">
            <w:fldChar w:fldCharType="begin"/>
            <w:instrText xml:space="preserve"> HYPERLINK \l "_heading=h.3znysh7" </w:instrText>
            <w:fldChar w:fldCharType="separate"/>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16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Tot slot</w:t>
            <w:tab/>
          </w:r>
          <w:r w:rsidDel="00000000" w:rsidR="00000000" w:rsidRPr="00000000">
            <w:fldChar w:fldCharType="begin"/>
            <w:instrText xml:space="preserve"> HYPERLINK \l "_heading=h.2et92p0" </w:instrText>
            <w:fldChar w:fldCharType="separate"/>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w:t>
          </w:r>
          <w:r w:rsidDel="00000000" w:rsidR="00000000" w:rsidRPr="00000000">
            <w:fldChar w:fldCharType="end"/>
          </w:r>
        </w:p>
      </w:sdtContent>
    </w:sdt>
    <w:p w:rsidR="00000000" w:rsidDel="00000000" w:rsidP="00000000" w:rsidRDefault="00000000" w:rsidRPr="00000000" w14:paraId="0000000A">
      <w:pPr>
        <w:rPr/>
      </w:pPr>
      <w:r w:rsidDel="00000000" w:rsidR="00000000" w:rsidRPr="00000000">
        <w:fldChar w:fldCharType="end"/>
      </w: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Algemene informatie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Bloeit is een initiatief geïnspireerd door het succesvolle Wergea Bloeit 2023 evenement dat duurzaamheid, gemeenschapszin en toekomstbestendigheid viert. In dit draaiboek vindt u essentiële informatie over ons evenement.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Bloeit is een onderdeel van Fryslân Bloeit, een beweging die streeft naar een duurzame en veerkrachtige provincie waarin gemeenschappen bloeien. Ons evenement richt zich op het verenigen van de inwoners van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om samen te werken aan oplossingen voor vraagstukken op het gebied van klimaat, burgerschap, gezondheid en natuur. Het richt zich daarom alleen op inwoners van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Doelstellingen zijn: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Het vergroten van de maatschappelijke betrokkenheid en gemeenschapszin in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Het stimuleren van duurzame initiatieven die bijdragen aan een gezonde en leefbare omgeving.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Het creëren van een positieve impact op het klimaat en de natuurlijke omgeving.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Het bevorderen van een gezonde levensstijl en welzijn binnen de gemeenschap.</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Tijdens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Bloeit zullen er verschillende activiteiten en evenementen plaatsvinden die bijdragen aan onze doelstellingen. Denk hierbij aan wandeltochten door de natuur, sportieve toernooien, gezamenlijke maaltijden met lokale producten, en nog veel meer. Het programma </w:t>
      </w:r>
      <w:r w:rsidDel="00000000" w:rsidR="00000000" w:rsidRPr="00000000">
        <w:rPr>
          <w:rFonts w:ascii="Helvetica Neue" w:cs="Helvetica Neue" w:eastAsia="Helvetica Neue" w:hAnsi="Helvetica Neue"/>
          <w:sz w:val="22"/>
          <w:szCs w:val="22"/>
          <w:rtl w:val="0"/>
        </w:rPr>
        <w:t xml:space="preserve">werd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samengesteld door het Bloeiteam, bestaande uit enthousiaste dorpsbewoners en ondersteund door de organisatie van Fryslân Bloeit.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Programma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Hieronder is het programma van de Bloeiweek in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te vinden.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90.0" w:type="dxa"/>
        <w:jc w:val="left"/>
        <w:tblInd w:w="1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410"/>
        <w:gridCol w:w="2460"/>
        <w:gridCol w:w="1740"/>
        <w:gridCol w:w="1350"/>
        <w:gridCol w:w="1545"/>
        <w:gridCol w:w="1485"/>
        <w:tblGridChange w:id="0">
          <w:tblGrid>
            <w:gridCol w:w="1410"/>
            <w:gridCol w:w="2460"/>
            <w:gridCol w:w="1740"/>
            <w:gridCol w:w="1350"/>
            <w:gridCol w:w="1545"/>
            <w:gridCol w:w="1485"/>
          </w:tblGrid>
        </w:tblGridChange>
      </w:tblGrid>
      <w:tr>
        <w:trPr>
          <w:cantSplit w:val="0"/>
          <w:trHeight w:val="48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Wanneer</w:t>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Wat</w:t>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Locatie</w:t>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Deelnemers</w:t>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Weg afsluiten?</w:t>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Versterkte muziek?</w:t>
            </w:r>
          </w:p>
        </w:tc>
      </w:tr>
      <w:tr>
        <w:trPr>
          <w:cantSplit w:val="0"/>
          <w:trHeight w:val="400" w:hRule="atLeast"/>
          <w:tblHeader w:val="0"/>
        </w:trPr>
        <w:tc>
          <w:tcPr>
            <w:gridSpan w:val="6"/>
            <w:tcBorders>
              <w:top w:color="000000" w:space="0" w:sz="6"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Elke dag</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2B">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1">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37">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D">
            <w:pPr>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Maandag</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9">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4F">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5">
            <w:pPr>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Dinsdag</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7">
            <w:pPr>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Woensdag</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3">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9">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7F">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5">
            <w:pPr>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Donderdag</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7">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D">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3">
            <w:pPr>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Vrijdag</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AF">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5">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BB">
            <w:pPr>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Zaterdag</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7">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3">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DF">
            <w:pPr>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5d5d5" w:val="clear"/>
            <w:tcMar>
              <w:top w:w="80.0" w:type="dxa"/>
              <w:left w:w="80.0" w:type="dxa"/>
              <w:bottom w:w="80.0" w:type="dxa"/>
              <w:right w:w="80.0" w:type="dxa"/>
            </w:tcM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Zondag</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E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E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EB">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1">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top"/>
          </w:tcPr>
          <w:p w:rsidR="00000000" w:rsidDel="00000000" w:rsidP="00000000" w:rsidRDefault="00000000" w:rsidRPr="00000000" w14:paraId="000000F7">
            <w:pPr>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D">
            <w:pPr>
              <w:rPr/>
            </w:pP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Tot slot</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 week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[DORP INVULLEN]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Bloeit zit vol met kleine activiteiten die op verschillende plaatsen in het dorp plaatsvinden. Naar ons idee hebben we bij de activiteiten geen EHBO’ers nodig, omdat de activiteiten allemaal kleinschalig zijn en er meerdere organisatoren waarvan sommige met BHV aanwezig zijn. Mochten jullie hier anders over </w:t>
      </w:r>
      <w:r w:rsidDel="00000000" w:rsidR="00000000" w:rsidRPr="00000000">
        <w:rPr>
          <w:rFonts w:ascii="Helvetica Neue" w:cs="Helvetica Neue" w:eastAsia="Helvetica Neue" w:hAnsi="Helvetica Neue"/>
          <w:sz w:val="22"/>
          <w:szCs w:val="22"/>
          <w:rtl w:val="0"/>
        </w:rPr>
        <w:t xml:space="preserve">denken, horen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wij dit graag en hebben we vanuit dorpsverenigingen wel mogelijkheden om EHBO’ers te regelen. We hebben zo duidelijk mogelijk in kaart gebracht waar en hoe alles plaatsvindt. Bij vragen kan er contact met ons opgenomen worden op +31623669995.</w:t>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67" w:hanging="283"/>
      </w:pPr>
      <w:rPr>
        <w:smallCaps w:val="0"/>
        <w:strike w:val="0"/>
        <w:shd w:fill="auto" w:val="clear"/>
        <w:vertAlign w:val="baseline"/>
      </w:rPr>
    </w:lvl>
    <w:lvl w:ilvl="1">
      <w:start w:val="1"/>
      <w:numFmt w:val="bullet"/>
      <w:lvlText w:val="•"/>
      <w:lvlJc w:val="left"/>
      <w:pPr>
        <w:ind w:left="360" w:hanging="180"/>
      </w:pPr>
      <w:rPr>
        <w:smallCaps w:val="0"/>
        <w:strike w:val="0"/>
        <w:shd w:fill="auto" w:val="clear"/>
        <w:vertAlign w:val="baseline"/>
      </w:rPr>
    </w:lvl>
    <w:lvl w:ilvl="2">
      <w:start w:val="1"/>
      <w:numFmt w:val="bullet"/>
      <w:lvlText w:val="•"/>
      <w:lvlJc w:val="left"/>
      <w:pPr>
        <w:ind w:left="540" w:hanging="180"/>
      </w:pPr>
      <w:rPr>
        <w:smallCaps w:val="0"/>
        <w:strike w:val="0"/>
        <w:shd w:fill="auto" w:val="clear"/>
        <w:vertAlign w:val="baseline"/>
      </w:rPr>
    </w:lvl>
    <w:lvl w:ilvl="3">
      <w:start w:val="1"/>
      <w:numFmt w:val="bullet"/>
      <w:lvlText w:val="•"/>
      <w:lvlJc w:val="left"/>
      <w:pPr>
        <w:ind w:left="720" w:hanging="180"/>
      </w:pPr>
      <w:rPr>
        <w:smallCaps w:val="0"/>
        <w:strike w:val="0"/>
        <w:shd w:fill="auto" w:val="clear"/>
        <w:vertAlign w:val="baseline"/>
      </w:rPr>
    </w:lvl>
    <w:lvl w:ilvl="4">
      <w:start w:val="1"/>
      <w:numFmt w:val="bullet"/>
      <w:lvlText w:val="•"/>
      <w:lvlJc w:val="left"/>
      <w:pPr>
        <w:ind w:left="900" w:hanging="180"/>
      </w:pPr>
      <w:rPr>
        <w:smallCaps w:val="0"/>
        <w:strike w:val="0"/>
        <w:shd w:fill="auto" w:val="clear"/>
        <w:vertAlign w:val="baseline"/>
      </w:rPr>
    </w:lvl>
    <w:lvl w:ilvl="5">
      <w:start w:val="1"/>
      <w:numFmt w:val="bullet"/>
      <w:lvlText w:val="•"/>
      <w:lvlJc w:val="left"/>
      <w:pPr>
        <w:ind w:left="1080" w:hanging="180"/>
      </w:pPr>
      <w:rPr>
        <w:smallCaps w:val="0"/>
        <w:strike w:val="0"/>
        <w:shd w:fill="auto" w:val="clear"/>
        <w:vertAlign w:val="baseline"/>
      </w:rPr>
    </w:lvl>
    <w:lvl w:ilvl="6">
      <w:start w:val="1"/>
      <w:numFmt w:val="bullet"/>
      <w:lvlText w:val="•"/>
      <w:lvlJc w:val="left"/>
      <w:pPr>
        <w:ind w:left="1260" w:hanging="180"/>
      </w:pPr>
      <w:rPr>
        <w:smallCaps w:val="0"/>
        <w:strike w:val="0"/>
        <w:shd w:fill="auto" w:val="clear"/>
        <w:vertAlign w:val="baseline"/>
      </w:rPr>
    </w:lvl>
    <w:lvl w:ilvl="7">
      <w:start w:val="1"/>
      <w:numFmt w:val="bullet"/>
      <w:lvlText w:val="•"/>
      <w:lvlJc w:val="left"/>
      <w:pPr>
        <w:ind w:left="1440" w:hanging="180"/>
      </w:pPr>
      <w:rPr>
        <w:smallCaps w:val="0"/>
        <w:strike w:val="0"/>
        <w:shd w:fill="auto" w:val="clear"/>
        <w:vertAlign w:val="baseline"/>
      </w:rPr>
    </w:lvl>
    <w:lvl w:ilvl="8">
      <w:start w:val="1"/>
      <w:numFmt w:val="bullet"/>
      <w:lvlText w:val="•"/>
      <w:lvlJc w:val="left"/>
      <w:pPr>
        <w:ind w:left="1620" w:hanging="18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Kop- en voettekst">
    <w:name w:val="Kop- en voettekst"/>
    <w:next w:val="Kop- en voettekst"/>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Koptekst">
    <w:name w:val="Koptekst"/>
    <w:next w:val="Hoofdtekst"/>
    <w:pPr>
      <w:keepNext w:val="1"/>
      <w:keepLines w:val="0"/>
      <w:pageBreakBefore w:val="0"/>
      <w:widowControl w:val="1"/>
      <w:shd w:color="auto" w:fill="auto" w:val="clear"/>
      <w:suppressAutoHyphens w:val="0"/>
      <w:bidi w:val="0"/>
      <w:spacing w:after="0" w:before="0" w:line="240" w:lineRule="auto"/>
      <w:ind w:left="0" w:right="0" w:firstLine="0"/>
      <w:jc w:val="left"/>
      <w:outlineLvl w:val="0"/>
    </w:pPr>
    <w:rPr>
      <w:rFonts w:ascii="Helvetica Neue" w:cs="Arial Unicode MS" w:eastAsia="Arial Unicode MS" w:hAnsi="Helvetica Neue"/>
      <w:b w:val="1"/>
      <w:bCs w:val="1"/>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Hoofdtekst">
    <w:name w:val="Hoofdtekst"/>
    <w:next w:val="Hoofdteks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14:textFill>
        <w14:solidFill>
          <w14:srgbClr w14:val="000000"/>
        </w14:solidFill>
      </w14:textFill>
      <w14:textOutline>
        <w14:noFill/>
      </w14:textOutline>
    </w:rPr>
  </w:style>
  <w:style w:type="paragraph" w:styleId="Bovenliggend onderdeel van TOC 1">
    <w:name w:val="Bovenliggend onderdeel van TOC 1"/>
    <w:next w:val="Bovenliggend onderdeel van TOC 1"/>
    <w:pPr>
      <w:keepNext w:val="0"/>
      <w:keepLines w:val="0"/>
      <w:pageBreakBefore w:val="0"/>
      <w:widowControl w:val="1"/>
      <w:shd w:color="auto" w:fill="auto" w:val="clear"/>
      <w:tabs>
        <w:tab w:val="right" w:pos="9638"/>
      </w:tabs>
      <w:suppressAutoHyphens w:val="0"/>
      <w:bidi w:val="0"/>
      <w:spacing w:after="0" w:before="16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8"/>
      <w:szCs w:val="28"/>
      <w:u w:val="none"/>
      <w:shd w:color="auto" w:fill="auto" w:val="nil"/>
      <w:vertAlign w:val="baseline"/>
      <w14:textFill>
        <w14:solidFill>
          <w14:srgbClr w14:val="000000"/>
        </w14:solidFill>
      </w14:textFill>
      <w14:textOutline>
        <w14:noFill/>
      </w14:textOutline>
    </w:rPr>
  </w:style>
  <w:style w:type="paragraph" w:styleId="TOC 1">
    <w:name w:val="TOC 1"/>
    <w:basedOn w:val="Bovenliggend onderdeel van TOC 1"/>
    <w:next w:val="Bovenliggend onderdeel van TOC 1"/>
    <w:rPr>
      <w:sz w:val="22"/>
      <w:szCs w:val="22"/>
    </w:rPr>
  </w:style>
  <w:style w:type="numbering" w:styleId="Opsommingsteken">
    <w:name w:val="Opsommingsteken"/>
    <w:pPr>
      <w:numPr>
        <w:numId w:val="1"/>
      </w:numPr>
    </w:pPr>
  </w:style>
  <w:style w:type="paragraph" w:styleId="Tabelstijl 1">
    <w:name w:val="Tabelstijl 1"/>
    <w:next w:val="Tabelstijl 1"/>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Helvetica Neue" w:eastAsia="Helvetica Neue" w:hAnsi="Helvetica Neue"/>
      <w:b w:val="1"/>
      <w:bCs w:val="1"/>
      <w:i w:val="0"/>
      <w:iCs w:val="0"/>
      <w:caps w:val="0"/>
      <w:smallCaps w:val="0"/>
      <w:strike w:val="0"/>
      <w:dstrike w:val="0"/>
      <w:outline w:val="0"/>
      <w:color w:val="000000"/>
      <w:spacing w:val="0"/>
      <w:kern w:val="0"/>
      <w:position w:val="0"/>
      <w:sz w:val="20"/>
      <w:szCs w:val="20"/>
      <w:u w:val="none"/>
      <w:shd w:color="auto" w:fill="auto" w:val="nil"/>
      <w:vertAlign w:val="baseline"/>
      <w14:textFill>
        <w14:solidFill>
          <w14:srgbClr w14:val="000000"/>
        </w14:solidFill>
      </w14:textFill>
      <w14:textOutline>
        <w14:noFill/>
      </w14:textOutline>
    </w:rPr>
  </w:style>
  <w:style w:type="paragraph" w:styleId="Tabelstijl 2">
    <w:name w:val="Tabelstijl 2"/>
    <w:next w:val="Tabelstijl 2"/>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0"/>
      <w:szCs w:val="20"/>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9A+Sv/GLnvBkX+Iv0qDWdid92A==">CgMxLjAyCGguZ2pkZ3hzMgloLjMwajB6bGwyCWguMWZvYjl0ZTIJaC4zem55c2g3MgloLjJldDkycDA4AHIhMW8tZ0JKcDBhVm9GVTRvdFl5NFloaDIxRGVCNVA4VEtM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